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Cambria" w:hAnsi="Cambria"/>
          <w:b/>
          <w:color w:val="13294B"/>
          <w:sz w:val="44"/>
        </w:rPr>
        <w:t>CEO Pricing Sheet</w:t>
      </w:r>
    </w:p>
    <w:p>
      <w:pPr>
        <w:spacing w:after="160"/>
      </w:pPr>
      <w:r>
        <w:rPr>
          <w:i/>
          <w:color w:val="556070"/>
          <w:sz w:val="21"/>
        </w:rPr>
        <w:t>The Price Is Yours  .  price discrimination game  .  keep this with you</w:t>
      </w:r>
    </w:p>
    <w:p>
      <w:pPr>
        <w:spacing w:after="160"/>
        <w:shd w:val="clear" w:fill="EEF1F5"/>
      </w:pPr>
      <w:r>
        <w:rPr>
          <w:b/>
          <w:color w:val="13294B"/>
          <w:sz w:val="23"/>
        </w:rPr>
        <w:t xml:space="preserve">Your role.  </w:t>
      </w:r>
      <w:r>
        <w:rPr>
          <w:color w:val="151515"/>
          <w:sz w:val="23"/>
        </w:rPr>
        <w:t>You are the CEO of the only drug company in town. Each dose costs you 2 dollars to make, so your marginal cost is MC = 2. Your goal is the highest total profit. You do not see the patients' cards. You find the best price by trying a few and watching how many doses sell.</w:t>
      </w:r>
    </w:p>
    <w:p>
      <w:pPr>
        <w:spacing w:before="40" w:after="40"/>
      </w:pPr>
      <w:r>
        <w:rPr>
          <w:rFonts w:ascii="Cambria" w:hAnsi="Cambria"/>
          <w:b/>
          <w:color w:val="13294B"/>
          <w:sz w:val="26"/>
        </w:rPr>
        <w:t>How to figure your profit</w:t>
      </w:r>
    </w:p>
    <w:p>
      <w:pPr>
        <w:spacing w:after="20"/>
      </w:pPr>
      <w:r>
        <w:rPr>
          <w:color w:val="151515"/>
          <w:sz w:val="23"/>
        </w:rPr>
        <w:t>One price for everyone:   Profit = (Price minus 2)  x  Doses sold</w:t>
      </w:r>
    </w:p>
    <w:p>
      <w:pPr>
        <w:spacing w:after="160"/>
      </w:pPr>
      <w:r>
        <w:rPr>
          <w:color w:val="151515"/>
          <w:sz w:val="23"/>
        </w:rPr>
        <w:t>Two prices (one per group):   Profit = (INSURED price minus 2) x INSURED doses  +  (UNINSURED price minus 2) x UNINSURED doses</w:t>
      </w:r>
    </w:p>
    <w:p>
      <w:pPr>
        <w:spacing w:before="120" w:after="40"/>
      </w:pPr>
      <w:r>
        <w:rPr>
          <w:rFonts w:ascii="Cambria" w:hAnsi="Cambria"/>
          <w:b/>
          <w:color w:val="13294B"/>
          <w:sz w:val="25"/>
        </w:rPr>
        <w:t>Stage 1.  One price</w:t>
      </w:r>
      <w:r>
        <w:rPr>
          <w:i/>
          <w:color w:val="556070"/>
          <w:sz w:val="21"/>
        </w:rPr>
        <w:t xml:space="preserve">   try a couple of prices, keep the one that earns the most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008"/>
          </w:tcPr>
          <w:p>
            <w:pPr>
              <w:jc w:val="center"/>
            </w:pPr>
            <w:r>
              <w:rPr>
                <w:b/>
                <w:color w:val="13294B"/>
                <w:sz w:val="19"/>
              </w:rPr>
              <w:t>Round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b/>
                <w:color w:val="13294B"/>
                <w:sz w:val="19"/>
              </w:rPr>
              <w:t>Price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b/>
                <w:color w:val="13294B"/>
                <w:sz w:val="19"/>
              </w:rPr>
              <w:t>Doses sold</w:t>
            </w:r>
          </w:p>
        </w:tc>
        <w:tc>
          <w:tcPr>
            <w:tcW w:type="dxa" w:w="4320"/>
          </w:tcPr>
          <w:p>
            <w:pPr>
              <w:jc w:val="center"/>
            </w:pPr>
            <w:r>
              <w:rPr>
                <w:b/>
                <w:color w:val="13294B"/>
                <w:sz w:val="19"/>
              </w:rPr>
              <w:t>Profit = (Price - 2) x Doses</w:t>
            </w:r>
          </w:p>
        </w:tc>
      </w:tr>
      <w:tr>
        <w:trPr>
          <w:trHeight w:val="490"/>
        </w:trPr>
        <w:tc>
          <w:tcPr>
            <w:tcW w:type="dxa" w:w="1008"/>
          </w:tcPr>
          <w:p>
            <w:pPr>
              <w:jc w:val="center"/>
            </w:pPr>
            <w:r>
              <w:rPr>
                <w:color w:val="556070"/>
                <w:sz w:val="20"/>
              </w:rPr>
              <w:t>1</w:t>
            </w:r>
          </w:p>
        </w:tc>
        <w:tc>
          <w:tcPr>
            <w:tcW w:type="dxa" w:w="1584"/>
          </w:tcPr>
          <w:p/>
        </w:tc>
        <w:tc>
          <w:tcPr>
            <w:tcW w:type="dxa" w:w="1872"/>
          </w:tcPr>
          <w:p/>
        </w:tc>
        <w:tc>
          <w:tcPr>
            <w:tcW w:type="dxa" w:w="4320"/>
          </w:tcPr>
          <w:p/>
        </w:tc>
      </w:tr>
      <w:tr>
        <w:trPr>
          <w:trHeight w:val="490"/>
        </w:trPr>
        <w:tc>
          <w:tcPr>
            <w:tcW w:type="dxa" w:w="1008"/>
          </w:tcPr>
          <w:p>
            <w:pPr>
              <w:jc w:val="center"/>
            </w:pPr>
            <w:r>
              <w:rPr>
                <w:color w:val="556070"/>
                <w:sz w:val="20"/>
              </w:rPr>
              <w:t>2</w:t>
            </w:r>
          </w:p>
        </w:tc>
        <w:tc>
          <w:tcPr>
            <w:tcW w:type="dxa" w:w="1584"/>
          </w:tcPr>
          <w:p/>
        </w:tc>
        <w:tc>
          <w:tcPr>
            <w:tcW w:type="dxa" w:w="1872"/>
          </w:tcPr>
          <w:p/>
        </w:tc>
        <w:tc>
          <w:tcPr>
            <w:tcW w:type="dxa" w:w="4320"/>
          </w:tcPr>
          <w:p/>
        </w:tc>
      </w:tr>
      <w:tr>
        <w:trPr>
          <w:trHeight w:val="490"/>
        </w:trPr>
        <w:tc>
          <w:tcPr>
            <w:tcW w:type="dxa" w:w="1008"/>
          </w:tcPr>
          <w:p>
            <w:pPr>
              <w:jc w:val="center"/>
            </w:pPr>
            <w:r>
              <w:rPr>
                <w:color w:val="556070"/>
                <w:sz w:val="20"/>
              </w:rPr>
              <w:t>3</w:t>
            </w:r>
          </w:p>
        </w:tc>
        <w:tc>
          <w:tcPr>
            <w:tcW w:type="dxa" w:w="1584"/>
          </w:tcPr>
          <w:p/>
        </w:tc>
        <w:tc>
          <w:tcPr>
            <w:tcW w:type="dxa" w:w="1872"/>
          </w:tcPr>
          <w:p/>
        </w:tc>
        <w:tc>
          <w:tcPr>
            <w:tcW w:type="dxa" w:w="4320"/>
          </w:tcPr>
          <w:p/>
        </w:tc>
      </w:tr>
    </w:tbl>
    <w:p>
      <w:pPr>
        <w:spacing w:before="120" w:after="40"/>
      </w:pPr>
      <w:r>
        <w:rPr>
          <w:rFonts w:ascii="Cambria" w:hAnsi="Cambria"/>
          <w:b/>
          <w:color w:val="13294B"/>
          <w:sz w:val="25"/>
        </w:rPr>
        <w:t>Stage 2.  Two prices</w:t>
      </w:r>
      <w:r>
        <w:rPr>
          <w:i/>
          <w:color w:val="556070"/>
          <w:sz w:val="21"/>
        </w:rPr>
        <w:t xml:space="preserve">   set a price for INSURED and a price for UNINSURED, call each group in turn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008"/>
          </w:tcPr>
          <w:p>
            <w:pPr>
              <w:jc w:val="center"/>
            </w:pPr>
            <w:r>
              <w:rPr>
                <w:b/>
                <w:color w:val="13294B"/>
                <w:sz w:val="19"/>
              </w:rPr>
              <w:t>Round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b/>
                <w:color w:val="13294B"/>
                <w:sz w:val="19"/>
              </w:rPr>
              <w:t>INSURED price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b/>
                <w:color w:val="13294B"/>
                <w:sz w:val="19"/>
              </w:rPr>
              <w:t>INSURED doses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b/>
                <w:color w:val="13294B"/>
                <w:sz w:val="19"/>
              </w:rPr>
              <w:t>UNINSURED price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b/>
                <w:color w:val="13294B"/>
                <w:sz w:val="19"/>
              </w:rPr>
              <w:t>UNINSURED doses</w:t>
            </w:r>
          </w:p>
        </w:tc>
        <w:tc>
          <w:tcPr>
            <w:tcW w:type="dxa" w:w="2016"/>
          </w:tcPr>
          <w:p>
            <w:pPr>
              <w:jc w:val="center"/>
            </w:pPr>
            <w:r>
              <w:rPr>
                <w:b/>
                <w:color w:val="13294B"/>
                <w:sz w:val="19"/>
              </w:rPr>
              <w:t>Total profit</w:t>
            </w:r>
          </w:p>
        </w:tc>
      </w:tr>
      <w:tr>
        <w:trPr>
          <w:trHeight w:val="490"/>
        </w:trPr>
        <w:tc>
          <w:tcPr>
            <w:tcW w:type="dxa" w:w="1008"/>
          </w:tcPr>
          <w:p>
            <w:pPr>
              <w:jc w:val="center"/>
            </w:pPr>
            <w:r>
              <w:rPr>
                <w:color w:val="556070"/>
                <w:sz w:val="20"/>
              </w:rPr>
              <w:t>1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2016"/>
          </w:tcPr>
          <w:p/>
        </w:tc>
      </w:tr>
      <w:tr>
        <w:trPr>
          <w:trHeight w:val="490"/>
        </w:trPr>
        <w:tc>
          <w:tcPr>
            <w:tcW w:type="dxa" w:w="1008"/>
          </w:tcPr>
          <w:p>
            <w:pPr>
              <w:jc w:val="center"/>
            </w:pPr>
            <w:r>
              <w:rPr>
                <w:color w:val="556070"/>
                <w:sz w:val="20"/>
              </w:rPr>
              <w:t>2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2016"/>
          </w:tcPr>
          <w:p/>
        </w:tc>
      </w:tr>
      <w:tr>
        <w:trPr>
          <w:trHeight w:val="490"/>
        </w:trPr>
        <w:tc>
          <w:tcPr>
            <w:tcW w:type="dxa" w:w="1008"/>
          </w:tcPr>
          <w:p>
            <w:pPr>
              <w:jc w:val="center"/>
            </w:pPr>
            <w:r>
              <w:rPr>
                <w:color w:val="556070"/>
                <w:sz w:val="20"/>
              </w:rPr>
              <w:t>3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2016"/>
          </w:tcPr>
          <w:p/>
        </w:tc>
      </w:tr>
    </w:tbl>
    <w:p>
      <w:pPr>
        <w:spacing w:before="120" w:after="40"/>
      </w:pPr>
      <w:r>
        <w:rPr>
          <w:rFonts w:ascii="Cambria" w:hAnsi="Cambria"/>
          <w:b/>
          <w:color w:val="13294B"/>
          <w:sz w:val="25"/>
        </w:rPr>
        <w:t>Stage 3.  Resale is allowed</w:t>
      </w:r>
      <w:r>
        <w:rPr>
          <w:i/>
          <w:color w:val="556070"/>
          <w:sz w:val="21"/>
        </w:rPr>
        <w:t xml:space="preserve">   patients may now trade with each other, try to hold your prices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008"/>
          </w:tcPr>
          <w:p>
            <w:pPr>
              <w:jc w:val="center"/>
            </w:pPr>
            <w:r>
              <w:rPr>
                <w:b/>
                <w:color w:val="13294B"/>
                <w:sz w:val="19"/>
              </w:rPr>
              <w:t>Round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b/>
                <w:color w:val="13294B"/>
                <w:sz w:val="19"/>
              </w:rPr>
              <w:t>INSURED price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b/>
                <w:color w:val="13294B"/>
                <w:sz w:val="19"/>
              </w:rPr>
              <w:t>UNINSURED price</w:t>
            </w:r>
          </w:p>
        </w:tc>
        <w:tc>
          <w:tcPr>
            <w:tcW w:type="dxa" w:w="4320"/>
          </w:tcPr>
          <w:p>
            <w:pPr>
              <w:jc w:val="center"/>
            </w:pPr>
            <w:r>
              <w:rPr>
                <w:b/>
                <w:color w:val="13294B"/>
                <w:sz w:val="19"/>
              </w:rPr>
              <w:t>What happened to profit</w:t>
            </w:r>
          </w:p>
        </w:tc>
      </w:tr>
      <w:tr>
        <w:trPr>
          <w:trHeight w:val="490"/>
        </w:trPr>
        <w:tc>
          <w:tcPr>
            <w:tcW w:type="dxa" w:w="1008"/>
          </w:tcPr>
          <w:p>
            <w:pPr>
              <w:jc w:val="center"/>
            </w:pPr>
            <w:r>
              <w:rPr>
                <w:color w:val="556070"/>
                <w:sz w:val="20"/>
              </w:rPr>
              <w:t>1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4320"/>
          </w:tcPr>
          <w:p/>
        </w:tc>
      </w:tr>
      <w:tr>
        <w:trPr>
          <w:trHeight w:val="490"/>
        </w:trPr>
        <w:tc>
          <w:tcPr>
            <w:tcW w:type="dxa" w:w="1008"/>
          </w:tcPr>
          <w:p>
            <w:pPr>
              <w:jc w:val="center"/>
            </w:pPr>
            <w:r>
              <w:rPr>
                <w:color w:val="556070"/>
                <w:sz w:val="20"/>
              </w:rPr>
              <w:t>2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4320"/>
          </w:tcPr>
          <w:p/>
        </w:tc>
      </w:tr>
      <w:tr>
        <w:trPr>
          <w:trHeight w:val="490"/>
        </w:trPr>
        <w:tc>
          <w:tcPr>
            <w:tcW w:type="dxa" w:w="1008"/>
          </w:tcPr>
          <w:p>
            <w:pPr>
              <w:jc w:val="center"/>
            </w:pPr>
            <w:r>
              <w:rPr>
                <w:color w:val="556070"/>
                <w:sz w:val="20"/>
              </w:rPr>
              <w:t>3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4320"/>
          </w:tcPr>
          <w:p/>
        </w:tc>
      </w:tr>
    </w:tbl>
    <w:p>
      <w:pPr>
        <w:spacing w:before="160"/>
      </w:pPr>
      <w:r>
        <w:rPr>
          <w:i/>
          <w:color w:val="9A6B15"/>
          <w:sz w:val="21"/>
        </w:rPr>
        <w:t>Tip:  in Stage 1 a higher price earns more per dose but sells fewer. Hunt for the sweet spot. In Stage 2 you can keep the high group's price high and still open a lower price for the uninsured group, so you capture buyers you were losing.</w:t>
      </w:r>
    </w:p>
    <w:sectPr w:rsidR="00FC693F" w:rsidRPr="0006063C" w:rsidSect="00034616">
      <w:pgSz w:w="12240" w:h="15840"/>
      <w:pgMar w:top="864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5151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